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A905" w14:textId="38416B1E" w:rsidR="00F12018" w:rsidRDefault="001F4ED7" w:rsidP="001F4ED7">
      <w:pPr>
        <w:jc w:val="center"/>
        <w:rPr>
          <w:rFonts w:ascii="標楷體" w:eastAsia="標楷體" w:hAnsi="標楷體"/>
          <w:b/>
          <w:bCs/>
          <w:sz w:val="28"/>
          <w:szCs w:val="28"/>
        </w:rPr>
      </w:pPr>
      <w:r w:rsidRPr="001F4ED7">
        <w:rPr>
          <w:rFonts w:ascii="標楷體" w:eastAsia="標楷體" w:hAnsi="標楷體" w:hint="eastAsia"/>
          <w:b/>
          <w:bCs/>
          <w:sz w:val="28"/>
          <w:szCs w:val="28"/>
        </w:rPr>
        <w:t>中華民國國</w:t>
      </w:r>
      <w:r w:rsidRPr="001F4ED7">
        <w:rPr>
          <w:rFonts w:ascii="標楷體" w:eastAsia="標楷體" w:hAnsi="標楷體" w:hint="eastAsia"/>
          <w:b/>
          <w:bCs/>
          <w:sz w:val="28"/>
          <w:szCs w:val="28"/>
        </w:rPr>
        <w:t>電子競技運動協</w:t>
      </w:r>
      <w:r w:rsidRPr="001F4ED7">
        <w:rPr>
          <w:rFonts w:ascii="標楷體" w:eastAsia="標楷體" w:hAnsi="標楷體" w:hint="eastAsia"/>
          <w:b/>
          <w:bCs/>
          <w:sz w:val="28"/>
          <w:szCs w:val="28"/>
        </w:rPr>
        <w:t>會運動禁藥管制作業要點</w:t>
      </w:r>
    </w:p>
    <w:p w14:paraId="4C58A812" w14:textId="38C0C582" w:rsidR="001F4ED7" w:rsidRDefault="001F4ED7" w:rsidP="001F4ED7">
      <w:pPr>
        <w:pStyle w:val="a9"/>
        <w:numPr>
          <w:ilvl w:val="0"/>
          <w:numId w:val="1"/>
        </w:numPr>
        <w:rPr>
          <w:rFonts w:ascii="標楷體" w:eastAsia="標楷體" w:hAnsi="標楷體"/>
        </w:rPr>
      </w:pPr>
      <w:r w:rsidRPr="001F4ED7">
        <w:rPr>
          <w:rFonts w:ascii="標楷體" w:eastAsia="標楷體" w:hAnsi="標楷體" w:hint="eastAsia"/>
        </w:rPr>
        <w:t>中華民國</w:t>
      </w:r>
      <w:r>
        <w:rPr>
          <w:rFonts w:ascii="標楷體" w:eastAsia="標楷體" w:hAnsi="標楷體" w:hint="eastAsia"/>
        </w:rPr>
        <w:t>電子競技運動</w:t>
      </w:r>
      <w:r w:rsidRPr="001F4ED7">
        <w:rPr>
          <w:rFonts w:ascii="標楷體" w:eastAsia="標楷體" w:hAnsi="標楷體" w:hint="eastAsia"/>
        </w:rPr>
        <w:t>協會依教育部體育署運動禁藥管制辦法第10條及世界運動禁藥管制組織（下稱WADA）公布之世界運動禁藥管制規範（WADA</w:t>
      </w:r>
      <w:r w:rsidRPr="001F4ED7">
        <w:rPr>
          <w:rFonts w:ascii="標楷體" w:eastAsia="標楷體" w:hAnsi="標楷體" w:hint="eastAsia"/>
        </w:rPr>
        <w:t xml:space="preserve"> </w:t>
      </w:r>
      <w:r w:rsidRPr="001F4ED7">
        <w:rPr>
          <w:rFonts w:ascii="標楷體" w:eastAsia="標楷體" w:hAnsi="標楷體" w:hint="eastAsia"/>
        </w:rPr>
        <w:t>CODE，下稱WADA規範），訂定本運動禁藥管制作業要點。</w:t>
      </w:r>
    </w:p>
    <w:p w14:paraId="1BF0661A" w14:textId="39570094" w:rsidR="001F4ED7" w:rsidRDefault="001F4ED7" w:rsidP="001F4ED7">
      <w:pPr>
        <w:pStyle w:val="a9"/>
        <w:numPr>
          <w:ilvl w:val="0"/>
          <w:numId w:val="1"/>
        </w:numPr>
        <w:rPr>
          <w:rFonts w:ascii="標楷體" w:eastAsia="標楷體" w:hAnsi="標楷體"/>
        </w:rPr>
      </w:pPr>
      <w:r>
        <w:rPr>
          <w:rFonts w:ascii="標楷體" w:eastAsia="標楷體" w:hAnsi="標楷體" w:hint="eastAsia"/>
        </w:rPr>
        <w:t>適用對象</w:t>
      </w:r>
    </w:p>
    <w:p w14:paraId="6BB4E5C7" w14:textId="1A7566C7" w:rsidR="001F4ED7" w:rsidRDefault="001F4ED7" w:rsidP="002B45EB">
      <w:pPr>
        <w:pStyle w:val="a9"/>
        <w:numPr>
          <w:ilvl w:val="1"/>
          <w:numId w:val="1"/>
        </w:numPr>
        <w:ind w:left="1701" w:hanging="1221"/>
        <w:rPr>
          <w:rFonts w:ascii="標楷體" w:eastAsia="標楷體" w:hAnsi="標楷體"/>
        </w:rPr>
      </w:pPr>
      <w:r>
        <w:rPr>
          <w:rFonts w:ascii="標楷體" w:eastAsia="標楷體" w:hAnsi="標楷體" w:hint="eastAsia"/>
        </w:rPr>
        <w:t>運動員及其後勤人員</w:t>
      </w:r>
    </w:p>
    <w:p w14:paraId="52DEDBB1" w14:textId="77777777" w:rsidR="002B45EB" w:rsidRDefault="001F4ED7" w:rsidP="002B45EB">
      <w:pPr>
        <w:pStyle w:val="a9"/>
        <w:numPr>
          <w:ilvl w:val="1"/>
          <w:numId w:val="1"/>
        </w:numPr>
        <w:ind w:left="1701" w:hanging="1221"/>
        <w:rPr>
          <w:rFonts w:ascii="標楷體" w:eastAsia="標楷體" w:hAnsi="標楷體"/>
        </w:rPr>
      </w:pPr>
      <w:r>
        <w:rPr>
          <w:rFonts w:ascii="標楷體" w:eastAsia="標楷體" w:hAnsi="標楷體" w:hint="eastAsia"/>
        </w:rPr>
        <w:t>本</w:t>
      </w:r>
      <w:r w:rsidRPr="001F4ED7">
        <w:rPr>
          <w:rFonts w:ascii="標楷體" w:eastAsia="標楷體" w:hAnsi="標楷體" w:hint="eastAsia"/>
        </w:rPr>
        <w:t>會及本會轄下之會員</w:t>
      </w:r>
    </w:p>
    <w:p w14:paraId="7D3AD3BE" w14:textId="4F5033C5" w:rsidR="001F4ED7" w:rsidRPr="002B45EB" w:rsidRDefault="001F4ED7"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本會之組織成員及本會授權之人員</w:t>
      </w:r>
    </w:p>
    <w:p w14:paraId="7A9F9A05" w14:textId="56A682B5" w:rsidR="001F4ED7" w:rsidRDefault="001F4ED7" w:rsidP="001F4ED7">
      <w:pPr>
        <w:pStyle w:val="a9"/>
        <w:numPr>
          <w:ilvl w:val="0"/>
          <w:numId w:val="1"/>
        </w:numPr>
        <w:rPr>
          <w:rFonts w:ascii="標楷體" w:eastAsia="標楷體" w:hAnsi="標楷體"/>
        </w:rPr>
      </w:pPr>
      <w:r w:rsidRPr="001F4ED7">
        <w:rPr>
          <w:rFonts w:ascii="標楷體" w:eastAsia="標楷體" w:hAnsi="標楷體" w:hint="eastAsia"/>
        </w:rPr>
        <w:t>義務</w:t>
      </w:r>
      <w:r>
        <w:rPr>
          <w:rFonts w:ascii="標楷體" w:eastAsia="標楷體" w:hAnsi="標楷體"/>
        </w:rPr>
        <w:br/>
      </w:r>
      <w:r w:rsidRPr="001F4ED7">
        <w:rPr>
          <w:rFonts w:ascii="標楷體" w:eastAsia="標楷體" w:hAnsi="標楷體" w:hint="eastAsia"/>
        </w:rPr>
        <w:t>本會將直接適用或間接援引WADA規範至治理文件、章程及規範，並遵守中華奧會藥管計畫及運動禁藥管制規定。適用對象應遵守之義務如下：</w:t>
      </w:r>
    </w:p>
    <w:p w14:paraId="5B0A8EC3" w14:textId="29DC0A06" w:rsidR="001F4ED7" w:rsidRDefault="001F4ED7" w:rsidP="002B45EB">
      <w:pPr>
        <w:pStyle w:val="a9"/>
        <w:numPr>
          <w:ilvl w:val="1"/>
          <w:numId w:val="1"/>
        </w:numPr>
        <w:ind w:left="1701" w:hanging="1221"/>
        <w:rPr>
          <w:rFonts w:ascii="標楷體" w:eastAsia="標楷體" w:hAnsi="標楷體"/>
        </w:rPr>
      </w:pPr>
      <w:r w:rsidRPr="001F4ED7">
        <w:rPr>
          <w:rFonts w:ascii="標楷體" w:eastAsia="標楷體" w:hAnsi="標楷體" w:hint="eastAsia"/>
        </w:rPr>
        <w:t>瞭解並遵守WADA規範，WADA公布之國際標準（International</w:t>
      </w:r>
      <w:r>
        <w:rPr>
          <w:rFonts w:ascii="標楷體" w:eastAsia="標楷體" w:hAnsi="標楷體" w:hint="eastAsia"/>
        </w:rPr>
        <w:t xml:space="preserve"> </w:t>
      </w:r>
      <w:r w:rsidRPr="001F4ED7">
        <w:rPr>
          <w:rFonts w:ascii="標楷體" w:eastAsia="標楷體" w:hAnsi="標楷體" w:hint="eastAsia"/>
        </w:rPr>
        <w:t>Standards）、示範法（Model</w:t>
      </w:r>
      <w:r w:rsidRPr="001F4ED7">
        <w:rPr>
          <w:rFonts w:ascii="標楷體" w:eastAsia="標楷體" w:hAnsi="標楷體" w:hint="eastAsia"/>
        </w:rPr>
        <w:tab/>
        <w:t>Rules）、指引（Guidelines）、</w:t>
      </w:r>
      <w:r>
        <w:rPr>
          <w:rFonts w:ascii="標楷體" w:eastAsia="標楷體" w:hAnsi="標楷體" w:hint="eastAsia"/>
        </w:rPr>
        <w:t>標</w:t>
      </w:r>
      <w:r w:rsidRPr="001F4ED7">
        <w:rPr>
          <w:rFonts w:ascii="標楷體" w:eastAsia="標楷體" w:hAnsi="標楷體" w:hint="eastAsia"/>
        </w:rPr>
        <w:t>準作業流程（Protocols），及國內運動禁藥管制規定。</w:t>
      </w:r>
    </w:p>
    <w:p w14:paraId="3C204020" w14:textId="7329A22F" w:rsidR="001F4ED7" w:rsidRDefault="001F4ED7" w:rsidP="002B45EB">
      <w:pPr>
        <w:pStyle w:val="a9"/>
        <w:numPr>
          <w:ilvl w:val="1"/>
          <w:numId w:val="1"/>
        </w:numPr>
        <w:ind w:left="1701" w:hanging="1221"/>
        <w:rPr>
          <w:rFonts w:ascii="標楷體" w:eastAsia="標楷體" w:hAnsi="標楷體"/>
        </w:rPr>
      </w:pPr>
      <w:r w:rsidRPr="001F4ED7">
        <w:rPr>
          <w:rFonts w:ascii="標楷體" w:eastAsia="標楷體" w:hAnsi="標楷體" w:hint="eastAsia"/>
        </w:rPr>
        <w:t>依WADA有關賽內及賽外運動禁藥檢測規定，配合運動禁藥管制程序。</w:t>
      </w:r>
      <w:r w:rsidRPr="001F4ED7">
        <w:rPr>
          <w:rFonts w:ascii="標楷體" w:eastAsia="標楷體" w:hAnsi="標楷體" w:hint="eastAsia"/>
        </w:rPr>
        <w:tab/>
      </w:r>
    </w:p>
    <w:p w14:paraId="6E51E8E2" w14:textId="5DC4449D" w:rsidR="001F4ED7" w:rsidRDefault="001F4ED7" w:rsidP="002B45EB">
      <w:pPr>
        <w:pStyle w:val="a9"/>
        <w:numPr>
          <w:ilvl w:val="1"/>
          <w:numId w:val="1"/>
        </w:numPr>
        <w:ind w:left="1701" w:hanging="1221"/>
        <w:rPr>
          <w:rFonts w:ascii="標楷體" w:eastAsia="標楷體" w:hAnsi="標楷體"/>
        </w:rPr>
      </w:pPr>
      <w:r w:rsidRPr="001F4ED7">
        <w:rPr>
          <w:rFonts w:ascii="標楷體" w:eastAsia="標楷體" w:hAnsi="標楷體" w:hint="eastAsia"/>
        </w:rPr>
        <w:t>瞭解違反運動禁藥管制規定之行為態樣，並配合運動禁藥管制組織提供必要之資訊。</w:t>
      </w:r>
    </w:p>
    <w:p w14:paraId="4BCD02B7" w14:textId="2EFE6EE2" w:rsidR="0072714A" w:rsidRDefault="0072714A" w:rsidP="002B45EB">
      <w:pPr>
        <w:pStyle w:val="a9"/>
        <w:numPr>
          <w:ilvl w:val="1"/>
          <w:numId w:val="1"/>
        </w:numPr>
        <w:ind w:left="1701" w:hanging="1221"/>
        <w:rPr>
          <w:rFonts w:ascii="標楷體" w:eastAsia="標楷體" w:hAnsi="標楷體"/>
        </w:rPr>
      </w:pPr>
      <w:r w:rsidRPr="0072714A">
        <w:rPr>
          <w:rFonts w:ascii="標楷體" w:eastAsia="標楷體" w:hAnsi="標楷體" w:hint="eastAsia"/>
        </w:rPr>
        <w:t>運動員應對其體內存在任何運動禁藥管制之禁用物質負責。</w:t>
      </w:r>
    </w:p>
    <w:p w14:paraId="3964C730" w14:textId="05E5D934" w:rsidR="0072714A" w:rsidRDefault="0072714A" w:rsidP="002B45EB">
      <w:pPr>
        <w:pStyle w:val="a9"/>
        <w:numPr>
          <w:ilvl w:val="1"/>
          <w:numId w:val="1"/>
        </w:numPr>
        <w:ind w:left="1701" w:hanging="1221"/>
        <w:rPr>
          <w:rFonts w:ascii="標楷體" w:eastAsia="標楷體" w:hAnsi="標楷體"/>
        </w:rPr>
      </w:pPr>
      <w:r w:rsidRPr="0072714A">
        <w:rPr>
          <w:rFonts w:ascii="標楷體" w:eastAsia="標楷體" w:hAnsi="標楷體" w:hint="eastAsia"/>
        </w:rPr>
        <w:t>運動員不得使用或意圖使用運動禁藥管制之禁用物質或禁用方法。</w:t>
      </w:r>
      <w:r w:rsidRPr="0072714A">
        <w:rPr>
          <w:rFonts w:ascii="標楷體" w:eastAsia="標楷體" w:hAnsi="標楷體" w:hint="eastAsia"/>
        </w:rPr>
        <w:tab/>
      </w:r>
    </w:p>
    <w:p w14:paraId="368E0794" w14:textId="23A85099" w:rsidR="0072714A" w:rsidRDefault="0072714A" w:rsidP="002B45EB">
      <w:pPr>
        <w:pStyle w:val="a9"/>
        <w:numPr>
          <w:ilvl w:val="1"/>
          <w:numId w:val="1"/>
        </w:numPr>
        <w:ind w:left="1701" w:hanging="1221"/>
        <w:rPr>
          <w:rFonts w:ascii="標楷體" w:eastAsia="標楷體" w:hAnsi="標楷體"/>
        </w:rPr>
      </w:pPr>
      <w:r w:rsidRPr="0072714A">
        <w:rPr>
          <w:rFonts w:ascii="標楷體" w:eastAsia="標楷體" w:hAnsi="標楷體" w:hint="eastAsia"/>
        </w:rPr>
        <w:t>運動員於收到藥檢通知後，不得無故拒絕、未能提供檢體，或以其他方式逃避檢測。</w:t>
      </w:r>
    </w:p>
    <w:p w14:paraId="07C313AD" w14:textId="77777777" w:rsidR="002B45EB" w:rsidRDefault="0072714A" w:rsidP="002B45EB">
      <w:pPr>
        <w:pStyle w:val="a9"/>
        <w:numPr>
          <w:ilvl w:val="1"/>
          <w:numId w:val="1"/>
        </w:numPr>
        <w:ind w:left="1701" w:hanging="1221"/>
        <w:rPr>
          <w:rFonts w:ascii="標楷體" w:eastAsia="標楷體" w:hAnsi="標楷體"/>
        </w:rPr>
      </w:pPr>
      <w:r w:rsidRPr="0072714A">
        <w:rPr>
          <w:rFonts w:ascii="標楷體" w:eastAsia="標楷體" w:hAnsi="標楷體" w:hint="eastAsia"/>
        </w:rPr>
        <w:t>運動員應提供正確之行蹤資料。</w:t>
      </w:r>
    </w:p>
    <w:p w14:paraId="05683255" w14:textId="77777777" w:rsidR="002B45EB" w:rsidRDefault="0072714A"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除取得治療用途豁免之授權外，運動員及其後勤人員不得持有運動禁藥管制之禁用物質或禁用方法。</w:t>
      </w:r>
    </w:p>
    <w:p w14:paraId="1429C34C" w14:textId="77777777" w:rsidR="002B45EB" w:rsidRDefault="0072714A"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不得交易或意圖交易任何運動禁藥管制之禁用物質或禁用方法。</w:t>
      </w:r>
    </w:p>
    <w:p w14:paraId="0C60C896" w14:textId="77777777" w:rsidR="002B45EB" w:rsidRDefault="0072714A"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不得對運動員施用或意圖施用運動禁藥管制之禁用物質或禁用方法。</w:t>
      </w:r>
    </w:p>
    <w:p w14:paraId="7BAE7DC9" w14:textId="57B31606" w:rsidR="002B45EB" w:rsidRDefault="002B45EB"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運動員應</w:t>
      </w:r>
      <w:r w:rsidRPr="002B45EB">
        <w:rPr>
          <w:rFonts w:ascii="標楷體" w:eastAsia="標楷體" w:hAnsi="標楷體" w:hint="eastAsia"/>
        </w:rPr>
        <w:t>告</w:t>
      </w:r>
      <w:r w:rsidRPr="002B45EB">
        <w:rPr>
          <w:rFonts w:ascii="標楷體" w:eastAsia="標楷體" w:hAnsi="標楷體" w:hint="eastAsia"/>
        </w:rPr>
        <w:t>知醫護人員不得開立具運動禁藥管制之禁用物質或禁用方法之治療處方，以確保其接受治療無違運動禁藥管制規</w:t>
      </w:r>
      <w:r w:rsidRPr="002B45EB">
        <w:rPr>
          <w:rFonts w:ascii="標楷體" w:eastAsia="標楷體" w:hAnsi="標楷體" w:hint="eastAsia"/>
        </w:rPr>
        <w:lastRenderedPageBreak/>
        <w:t>定。</w:t>
      </w:r>
    </w:p>
    <w:p w14:paraId="4D35162A" w14:textId="5AF12C03" w:rsidR="002B45EB" w:rsidRDefault="002B45EB"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不得以其他行為干擾運動禁藥管制程序。</w:t>
      </w:r>
    </w:p>
    <w:p w14:paraId="325DF60A" w14:textId="3E14C8F3" w:rsidR="002B45EB" w:rsidRDefault="002B45EB"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不得幫助或教唆他人違反或意圖違反運動禁藥管制規定。</w:t>
      </w:r>
    </w:p>
    <w:p w14:paraId="19D44EE7" w14:textId="799DD003" w:rsidR="002B45EB" w:rsidRDefault="002B45EB" w:rsidP="002B45EB">
      <w:pPr>
        <w:pStyle w:val="a9"/>
        <w:numPr>
          <w:ilvl w:val="1"/>
          <w:numId w:val="1"/>
        </w:numPr>
        <w:ind w:left="1701" w:hanging="1221"/>
        <w:rPr>
          <w:rFonts w:ascii="標楷體" w:eastAsia="標楷體" w:hAnsi="標楷體"/>
        </w:rPr>
      </w:pPr>
      <w:r w:rsidRPr="002B45EB">
        <w:rPr>
          <w:rFonts w:ascii="標楷體" w:eastAsia="標楷體" w:hAnsi="標楷體" w:hint="eastAsia"/>
        </w:rPr>
        <w:t>養成遵守運動禁藥管制規定之態度，發揮個人對運動價值之影響力。</w:t>
      </w:r>
    </w:p>
    <w:p w14:paraId="04DECDF1" w14:textId="002B1EA5" w:rsidR="00840DAB" w:rsidRDefault="00840DAB" w:rsidP="00840DAB">
      <w:pPr>
        <w:pStyle w:val="a9"/>
        <w:numPr>
          <w:ilvl w:val="0"/>
          <w:numId w:val="1"/>
        </w:numPr>
        <w:rPr>
          <w:rFonts w:ascii="標楷體" w:eastAsia="標楷體" w:hAnsi="標楷體"/>
        </w:rPr>
      </w:pPr>
      <w:r w:rsidRPr="00840DAB">
        <w:rPr>
          <w:rFonts w:ascii="標楷體" w:eastAsia="標楷體" w:hAnsi="標楷體" w:hint="eastAsia"/>
        </w:rPr>
        <w:t>違反運動禁藥管制規定之審議程序及法律效果依WADA規範進行審議程序，及後續結果管理。</w:t>
      </w:r>
    </w:p>
    <w:p w14:paraId="6025F30F" w14:textId="7D6AC59D" w:rsidR="00840DAB" w:rsidRDefault="00840DAB" w:rsidP="00840DAB">
      <w:pPr>
        <w:pStyle w:val="a9"/>
        <w:numPr>
          <w:ilvl w:val="0"/>
          <w:numId w:val="1"/>
        </w:numPr>
        <w:rPr>
          <w:rFonts w:ascii="標楷體" w:eastAsia="標楷體" w:hAnsi="標楷體"/>
        </w:rPr>
      </w:pPr>
      <w:r w:rsidRPr="00840DAB">
        <w:rPr>
          <w:rFonts w:ascii="標楷體" w:eastAsia="標楷體" w:hAnsi="標楷體" w:hint="eastAsia"/>
        </w:rPr>
        <w:t>申訴</w:t>
      </w:r>
    </w:p>
    <w:p w14:paraId="27BF4F89" w14:textId="15E5C60D" w:rsidR="00840DAB" w:rsidRDefault="00840DAB" w:rsidP="00840DAB">
      <w:pPr>
        <w:pStyle w:val="a9"/>
        <w:ind w:left="480"/>
        <w:rPr>
          <w:rFonts w:ascii="標楷體" w:eastAsia="標楷體" w:hAnsi="標楷體"/>
        </w:rPr>
      </w:pPr>
      <w:r w:rsidRPr="00840DAB">
        <w:rPr>
          <w:rFonts w:ascii="標楷體" w:eastAsia="標楷體" w:hAnsi="標楷體" w:hint="eastAsia"/>
        </w:rPr>
        <w:t>依運動禁藥管制辦法有關申訴之規定進行申訴。</w:t>
      </w:r>
    </w:p>
    <w:p w14:paraId="2CF43F6E" w14:textId="4F739DB2" w:rsidR="00840DAB" w:rsidRDefault="00840DAB" w:rsidP="00840DAB">
      <w:pPr>
        <w:pStyle w:val="a9"/>
        <w:numPr>
          <w:ilvl w:val="0"/>
          <w:numId w:val="1"/>
        </w:numPr>
        <w:rPr>
          <w:rFonts w:ascii="標楷體" w:eastAsia="標楷體" w:hAnsi="標楷體"/>
        </w:rPr>
      </w:pPr>
      <w:r w:rsidRPr="00840DAB">
        <w:rPr>
          <w:rFonts w:ascii="標楷體" w:eastAsia="標楷體" w:hAnsi="標楷體" w:hint="eastAsia"/>
        </w:rPr>
        <w:t>解釋與歧異</w:t>
      </w:r>
    </w:p>
    <w:p w14:paraId="473A9400" w14:textId="77777777" w:rsidR="00840DAB" w:rsidRDefault="00840DAB" w:rsidP="00840DAB">
      <w:pPr>
        <w:pStyle w:val="a9"/>
        <w:numPr>
          <w:ilvl w:val="1"/>
          <w:numId w:val="1"/>
        </w:numPr>
        <w:ind w:left="1701" w:hanging="1221"/>
        <w:rPr>
          <w:rFonts w:ascii="標楷體" w:eastAsia="標楷體" w:hAnsi="標楷體"/>
        </w:rPr>
      </w:pPr>
      <w:r w:rsidRPr="002B45EB">
        <w:rPr>
          <w:rFonts w:ascii="標楷體" w:eastAsia="標楷體" w:hAnsi="標楷體" w:hint="eastAsia"/>
        </w:rPr>
        <w:t>不得以其他行為干擾運動禁藥管制程序。</w:t>
      </w:r>
    </w:p>
    <w:p w14:paraId="5B23D16F" w14:textId="251794FD" w:rsidR="00840DAB" w:rsidRDefault="00840DAB" w:rsidP="00840DAB">
      <w:pPr>
        <w:pStyle w:val="a9"/>
        <w:numPr>
          <w:ilvl w:val="1"/>
          <w:numId w:val="1"/>
        </w:numPr>
        <w:ind w:left="1701" w:hanging="1221"/>
        <w:rPr>
          <w:rFonts w:ascii="標楷體" w:eastAsia="標楷體" w:hAnsi="標楷體"/>
        </w:rPr>
      </w:pPr>
      <w:r w:rsidRPr="00840DAB">
        <w:rPr>
          <w:rFonts w:ascii="標楷體" w:eastAsia="標楷體" w:hAnsi="標楷體" w:hint="eastAsia"/>
        </w:rPr>
        <w:t>本要點如與WADA公布之各項規定發生衝突，以WADA公布之各項規定為基準。</w:t>
      </w:r>
    </w:p>
    <w:p w14:paraId="789BAAB2" w14:textId="37A2A51E" w:rsidR="00840DAB" w:rsidRPr="00840DAB" w:rsidRDefault="00840DAB" w:rsidP="00840DAB">
      <w:pPr>
        <w:pStyle w:val="a9"/>
        <w:numPr>
          <w:ilvl w:val="1"/>
          <w:numId w:val="1"/>
        </w:numPr>
        <w:ind w:left="1701" w:hanging="1221"/>
        <w:rPr>
          <w:rFonts w:ascii="標楷體" w:eastAsia="標楷體" w:hAnsi="標楷體" w:hint="eastAsia"/>
        </w:rPr>
      </w:pPr>
      <w:r w:rsidRPr="00840DAB">
        <w:rPr>
          <w:rFonts w:ascii="標楷體" w:eastAsia="標楷體" w:hAnsi="標楷體" w:hint="eastAsia"/>
        </w:rPr>
        <w:t>所屬單項國際總會另有特別規定者，從其規定。</w:t>
      </w:r>
    </w:p>
    <w:sectPr w:rsidR="00840DAB" w:rsidRPr="00840D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75392"/>
    <w:multiLevelType w:val="hybridMultilevel"/>
    <w:tmpl w:val="BF861D64"/>
    <w:lvl w:ilvl="0" w:tplc="04090015">
      <w:start w:val="1"/>
      <w:numFmt w:val="taiwaneseCountingThousand"/>
      <w:lvlText w:val="%1、"/>
      <w:lvlJc w:val="left"/>
      <w:pPr>
        <w:ind w:left="480" w:hanging="480"/>
      </w:pPr>
    </w:lvl>
    <w:lvl w:ilvl="1" w:tplc="851E54B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0423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D7"/>
    <w:rsid w:val="00076677"/>
    <w:rsid w:val="001F4ED7"/>
    <w:rsid w:val="002B45EB"/>
    <w:rsid w:val="0072714A"/>
    <w:rsid w:val="00840DAB"/>
    <w:rsid w:val="00F12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DBC"/>
  <w15:chartTrackingRefBased/>
  <w15:docId w15:val="{A8E9ABA2-10C0-4DDF-BFF3-8BCDAC23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ED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4E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4ED7"/>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F4ED7"/>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F4E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4ED7"/>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F4ED7"/>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4ED7"/>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F4ED7"/>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4ED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F4ED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F4ED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F4ED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F4ED7"/>
    <w:rPr>
      <w:rFonts w:eastAsiaTheme="majorEastAsia" w:cstheme="majorBidi"/>
      <w:color w:val="0F4761" w:themeColor="accent1" w:themeShade="BF"/>
    </w:rPr>
  </w:style>
  <w:style w:type="character" w:customStyle="1" w:styleId="60">
    <w:name w:val="標題 6 字元"/>
    <w:basedOn w:val="a0"/>
    <w:link w:val="6"/>
    <w:uiPriority w:val="9"/>
    <w:semiHidden/>
    <w:rsid w:val="001F4ED7"/>
    <w:rPr>
      <w:rFonts w:eastAsiaTheme="majorEastAsia" w:cstheme="majorBidi"/>
      <w:color w:val="595959" w:themeColor="text1" w:themeTint="A6"/>
    </w:rPr>
  </w:style>
  <w:style w:type="character" w:customStyle="1" w:styleId="70">
    <w:name w:val="標題 7 字元"/>
    <w:basedOn w:val="a0"/>
    <w:link w:val="7"/>
    <w:uiPriority w:val="9"/>
    <w:semiHidden/>
    <w:rsid w:val="001F4ED7"/>
    <w:rPr>
      <w:rFonts w:eastAsiaTheme="majorEastAsia" w:cstheme="majorBidi"/>
      <w:color w:val="595959" w:themeColor="text1" w:themeTint="A6"/>
    </w:rPr>
  </w:style>
  <w:style w:type="character" w:customStyle="1" w:styleId="80">
    <w:name w:val="標題 8 字元"/>
    <w:basedOn w:val="a0"/>
    <w:link w:val="8"/>
    <w:uiPriority w:val="9"/>
    <w:semiHidden/>
    <w:rsid w:val="001F4ED7"/>
    <w:rPr>
      <w:rFonts w:eastAsiaTheme="majorEastAsia" w:cstheme="majorBidi"/>
      <w:color w:val="272727" w:themeColor="text1" w:themeTint="D8"/>
    </w:rPr>
  </w:style>
  <w:style w:type="character" w:customStyle="1" w:styleId="90">
    <w:name w:val="標題 9 字元"/>
    <w:basedOn w:val="a0"/>
    <w:link w:val="9"/>
    <w:uiPriority w:val="9"/>
    <w:semiHidden/>
    <w:rsid w:val="001F4ED7"/>
    <w:rPr>
      <w:rFonts w:eastAsiaTheme="majorEastAsia" w:cstheme="majorBidi"/>
      <w:color w:val="272727" w:themeColor="text1" w:themeTint="D8"/>
    </w:rPr>
  </w:style>
  <w:style w:type="paragraph" w:styleId="a3">
    <w:name w:val="Title"/>
    <w:basedOn w:val="a"/>
    <w:next w:val="a"/>
    <w:link w:val="a4"/>
    <w:uiPriority w:val="10"/>
    <w:qFormat/>
    <w:rsid w:val="001F4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F4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F4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ED7"/>
    <w:pPr>
      <w:spacing w:before="160"/>
      <w:jc w:val="center"/>
    </w:pPr>
    <w:rPr>
      <w:i/>
      <w:iCs/>
      <w:color w:val="404040" w:themeColor="text1" w:themeTint="BF"/>
    </w:rPr>
  </w:style>
  <w:style w:type="character" w:customStyle="1" w:styleId="a8">
    <w:name w:val="引文 字元"/>
    <w:basedOn w:val="a0"/>
    <w:link w:val="a7"/>
    <w:uiPriority w:val="29"/>
    <w:rsid w:val="001F4ED7"/>
    <w:rPr>
      <w:i/>
      <w:iCs/>
      <w:color w:val="404040" w:themeColor="text1" w:themeTint="BF"/>
    </w:rPr>
  </w:style>
  <w:style w:type="paragraph" w:styleId="a9">
    <w:name w:val="List Paragraph"/>
    <w:basedOn w:val="a"/>
    <w:uiPriority w:val="34"/>
    <w:qFormat/>
    <w:rsid w:val="001F4ED7"/>
    <w:pPr>
      <w:ind w:left="720"/>
      <w:contextualSpacing/>
    </w:pPr>
  </w:style>
  <w:style w:type="character" w:styleId="aa">
    <w:name w:val="Intense Emphasis"/>
    <w:basedOn w:val="a0"/>
    <w:uiPriority w:val="21"/>
    <w:qFormat/>
    <w:rsid w:val="001F4ED7"/>
    <w:rPr>
      <w:i/>
      <w:iCs/>
      <w:color w:val="0F4761" w:themeColor="accent1" w:themeShade="BF"/>
    </w:rPr>
  </w:style>
  <w:style w:type="paragraph" w:styleId="ab">
    <w:name w:val="Intense Quote"/>
    <w:basedOn w:val="a"/>
    <w:next w:val="a"/>
    <w:link w:val="ac"/>
    <w:uiPriority w:val="30"/>
    <w:qFormat/>
    <w:rsid w:val="001F4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F4ED7"/>
    <w:rPr>
      <w:i/>
      <w:iCs/>
      <w:color w:val="0F4761" w:themeColor="accent1" w:themeShade="BF"/>
    </w:rPr>
  </w:style>
  <w:style w:type="character" w:styleId="ad">
    <w:name w:val="Intense Reference"/>
    <w:basedOn w:val="a0"/>
    <w:uiPriority w:val="32"/>
    <w:qFormat/>
    <w:rsid w:val="001F4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Tseng</dc:creator>
  <cp:keywords/>
  <dc:description/>
  <cp:lastModifiedBy>Myron Tseng</cp:lastModifiedBy>
  <cp:revision>3</cp:revision>
  <dcterms:created xsi:type="dcterms:W3CDTF">2024-05-22T05:09:00Z</dcterms:created>
  <dcterms:modified xsi:type="dcterms:W3CDTF">2024-05-22T05:24:00Z</dcterms:modified>
</cp:coreProperties>
</file>